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A9" w:rsidRPr="00E137A9" w:rsidRDefault="00E137A9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:rsidR="00643E59" w:rsidRPr="00643E59" w:rsidRDefault="00511765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511765">
        <w:rPr>
          <w:b/>
          <w:noProof/>
        </w:rPr>
        <w:pict>
          <v:shape id="Freeform 6" o:spid="_x0000_s2051" style="position:absolute;left:0;text-align:left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<v:path arrowok="t" o:connecttype="custom" o:connectlocs="0,0;0,96520;96520,96520;96520,0;0,0" o:connectangles="0,0,0,0,0"/>
            <w10:wrap anchorx="page"/>
          </v:shape>
        </w:pic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660205">
        <w:rPr>
          <w:color w:val="221F1F"/>
          <w:w w:val="105"/>
          <w:sz w:val="17"/>
          <w:szCs w:val="17"/>
        </w:rPr>
        <w:t>np.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660205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:rsidR="008C2F3E" w:rsidRDefault="00643E59" w:rsidP="008C2F3E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:rsidR="00B976A8" w:rsidRDefault="00B976A8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:rsidR="001F6399" w:rsidRPr="008C2F3E" w:rsidRDefault="001F6399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:rsidR="00643E59" w:rsidRPr="00643E59" w:rsidRDefault="008C2F3E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 </w:t>
      </w:r>
      <w:r w:rsidR="00511765" w:rsidRPr="00511765">
        <w:rPr>
          <w:b/>
          <w:noProof/>
        </w:rPr>
        <w:pict>
          <v:shape id="Freeform 7" o:spid="_x0000_s2050" style="position:absolute;left:0;text-align:left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<v:path arrowok="t" o:connecttype="custom" o:connectlocs="0,0;0,96520;96520,96520;96520,0;0,0" o:connectangles="0,0,0,0,0"/>
            <w10:wrap anchorx="page"/>
          </v:shape>
        </w:pic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660205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660205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660205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660205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660205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proofErr w:type="spellStart"/>
      <w:r>
        <w:rPr>
          <w:color w:val="221F1F"/>
          <w:w w:val="105"/>
          <w:sz w:val="17"/>
          <w:szCs w:val="17"/>
        </w:rPr>
        <w:t>internetu</w:t>
      </w:r>
      <w:proofErr w:type="spellEnd"/>
      <w:r>
        <w:rPr>
          <w:color w:val="221F1F"/>
          <w:w w:val="105"/>
          <w:sz w:val="17"/>
          <w:szCs w:val="17"/>
        </w:rPr>
        <w:t>,</w:t>
      </w:r>
    </w:p>
    <w:p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660205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:rsidR="00643E59" w:rsidRP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 w:rsidR="00660205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660205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660205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:rsidR="00FB20C2" w:rsidRDefault="00D257FE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>
        <w:rPr>
          <w:rFonts w:ascii="Arial" w:hAnsi="Arial" w:cs="Arial"/>
          <w:b/>
          <w:color w:val="221F1F"/>
          <w:w w:val="110"/>
          <w:sz w:val="27"/>
          <w:szCs w:val="27"/>
        </w:rPr>
        <w:br/>
      </w:r>
    </w:p>
    <w:p w:rsidR="00FB20C2" w:rsidRDefault="00FB20C2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>
        <w:rPr>
          <w:rFonts w:ascii="Arial" w:hAnsi="Arial" w:cs="Arial"/>
          <w:b/>
          <w:color w:val="221F1F"/>
          <w:w w:val="110"/>
          <w:sz w:val="27"/>
          <w:szCs w:val="27"/>
        </w:rPr>
        <w:br w:type="page"/>
      </w:r>
    </w:p>
    <w:p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lastRenderedPageBreak/>
        <w:t xml:space="preserve">Szczegółowe wymagania na poszczególne </w:t>
      </w:r>
      <w:r w:rsidR="00F603F6">
        <w:rPr>
          <w:rFonts w:ascii="Arial" w:hAnsi="Arial" w:cs="Arial"/>
          <w:b/>
          <w:color w:val="221F1F"/>
          <w:w w:val="110"/>
          <w:sz w:val="27"/>
          <w:szCs w:val="27"/>
        </w:rPr>
        <w:t>oceny</w:t>
      </w:r>
    </w:p>
    <w:p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 w:rsidR="00F603F6">
        <w:rPr>
          <w:color w:val="221F1F"/>
          <w:w w:val="125"/>
        </w:rPr>
        <w:t>–</w:t>
      </w:r>
      <w:r>
        <w:rPr>
          <w:color w:val="221F1F"/>
          <w:w w:val="125"/>
        </w:rPr>
        <w:t xml:space="preserve"> </w:t>
      </w:r>
      <w:r>
        <w:rPr>
          <w:color w:val="221F1F"/>
          <w:w w:val="110"/>
        </w:rPr>
        <w:t xml:space="preserve">obejmują również wymagania na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niższe)</w:t>
      </w:r>
    </w:p>
    <w:p w:rsidR="00643E59" w:rsidRDefault="00992C5D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  <w:r w:rsidRPr="00992C5D">
        <w:rPr>
          <w:color w:val="221F1F"/>
          <w:w w:val="105"/>
          <w:highlight w:val="lightGray"/>
        </w:rPr>
        <w:t>Szarym kolorem</w:t>
      </w:r>
      <w:r w:rsidRPr="00992C5D">
        <w:rPr>
          <w:color w:val="221F1F"/>
          <w:w w:val="105"/>
        </w:rPr>
        <w:t> oznaczono treści, o których realizacji decyduje nauczyciel.</w:t>
      </w:r>
    </w:p>
    <w:p w:rsidR="00E137A9" w:rsidRDefault="00E137A9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  <w:r>
        <w:rPr>
          <w:color w:val="221F1F"/>
          <w:w w:val="105"/>
        </w:rPr>
        <w:t xml:space="preserve">Symbolem 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D </w:t>
      </w:r>
      <w:r>
        <w:rPr>
          <w:color w:val="221F1F"/>
          <w:w w:val="105"/>
        </w:rPr>
        <w:t>oznaczono treści spoza podstawy programowej; doświadczenia obowiązkowe zapisano pogrubioną czcionką</w:t>
      </w:r>
      <w:r w:rsidR="00992C5D">
        <w:rPr>
          <w:color w:val="221F1F"/>
          <w:w w:val="105"/>
        </w:rPr>
        <w:t>.</w:t>
      </w:r>
    </w:p>
    <w:p w:rsidR="00F603F6" w:rsidRDefault="00F603F6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</w:p>
    <w:tbl>
      <w:tblPr>
        <w:tblW w:w="15876" w:type="dxa"/>
        <w:tblInd w:w="-937" w:type="dxa"/>
        <w:tblCellMar>
          <w:top w:w="57" w:type="dxa"/>
          <w:bottom w:w="57" w:type="dxa"/>
        </w:tblCellMar>
        <w:tblLook w:val="0020"/>
      </w:tblPr>
      <w:tblGrid>
        <w:gridCol w:w="3570"/>
        <w:gridCol w:w="3937"/>
        <w:gridCol w:w="3445"/>
        <w:gridCol w:w="3197"/>
        <w:gridCol w:w="1727"/>
      </w:tblGrid>
      <w:tr w:rsidR="00F603F6" w:rsidTr="00F603F6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Ocena</w:t>
            </w:r>
          </w:p>
        </w:tc>
      </w:tr>
      <w:tr w:rsidR="00B4491D" w:rsidTr="00B4491D">
        <w:trPr>
          <w:trHeight w:val="20"/>
          <w:tblHeader/>
        </w:trPr>
        <w:tc>
          <w:tcPr>
            <w:tcW w:w="112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dopuszczając</w:t>
            </w: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a</w:t>
            </w:r>
          </w:p>
        </w:tc>
        <w:tc>
          <w:tcPr>
            <w:tcW w:w="124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dostateczn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85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0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bardzo 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545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:rsidR="00F603F6" w:rsidRPr="00643E59" w:rsidRDefault="00F603F6" w:rsidP="00F603F6">
            <w:pPr>
              <w:pStyle w:val="TableParagraph"/>
              <w:kinsoku w:val="0"/>
              <w:overflowPunct w:val="0"/>
              <w:spacing w:line="276" w:lineRule="auto"/>
              <w:ind w:left="-114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celująca</w:t>
            </w:r>
          </w:p>
        </w:tc>
      </w:tr>
      <w:tr w:rsidR="00F603F6" w:rsidTr="00F603F6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F603F6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</w:tr>
      <w:tr w:rsidR="00B4491D" w:rsidRPr="00660205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doświadczalnie bada oddziaływania ciał 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:rsidR="00F603F6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</w:p>
          <w:p w:rsidR="00F603F6" w:rsidRPr="00E137A9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kondensatorów,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proofErr w:type="spellStart"/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proofErr w:type="spellEnd"/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:rsidR="00F603F6" w:rsidRPr="00660205" w:rsidRDefault="00F603F6" w:rsidP="00587836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right="516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="00587836" w:rsidRPr="00587836">
              <w:rPr>
                <w:color w:val="000000"/>
                <w:sz w:val="15"/>
                <w:szCs w:val="15"/>
                <w:vertAlign w:val="superscript"/>
              </w:rPr>
              <w:t>–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:rsidR="00F603F6" w:rsidRPr="00E137A9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formułuje i interpretuje prawo Coulomba oraz zapisuje wzór opisujący to prawo; porównuje prawo Coulomba z prawem powszechnego ciążenia</w:t>
            </w:r>
          </w:p>
          <w:p w:rsidR="00F603F6" w:rsidRPr="00E137A9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oblicza wartość siły wzajemnego oddziaływania ładunków, stosując prawo Coulomba; 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posługuje się pojęciem </w:t>
            </w:r>
            <w:r w:rsidRPr="00E137A9">
              <w:rPr>
                <w:i/>
                <w:color w:val="000000"/>
                <w:spacing w:val="-2"/>
                <w:sz w:val="15"/>
                <w:szCs w:val="15"/>
                <w:highlight w:val="lightGray"/>
              </w:rPr>
              <w:t>stałej elektrycznej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; zaznacza</w:t>
            </w: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 wektory sił elektrycznych i opisuje je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>; ilustruje graficznie pole elektryczne za pomocą linii pola, określa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 na schematycznych rysunkach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kondensator jako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urządzenie magazynujące energię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:rsidR="00F603F6" w:rsidRPr="00E72A3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poddaje analizie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odpowiedzi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:rsidR="00F603F6" w:rsidRPr="00660205" w:rsidRDefault="00F603F6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internetu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>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przedstawia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urządzenia magazynującego energię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na wybranych przykładach 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superkondensatorów</w:t>
            </w:r>
            <w:proofErr w:type="spellEnd"/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:rsidR="00F603F6" w:rsidRPr="00E72A3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wykorzystuje go 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</w:t>
            </w:r>
            <w:r w:rsidR="00F8205D">
              <w:rPr>
                <w:i/>
                <w:iCs/>
                <w:color w:val="000000"/>
                <w:sz w:val="15"/>
                <w:szCs w:val="15"/>
              </w:rPr>
              <w:t>Elektrofiltry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B4491D" w:rsidRDefault="00F603F6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lastRenderedPageBreak/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:rsidR="00F603F6" w:rsidRPr="00E72A3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:rsidR="00F603F6" w:rsidRPr="00660205" w:rsidRDefault="00F603F6" w:rsidP="00DE6FF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 związany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tematyką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 xml:space="preserve"> (inny niż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podręczniku);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hipotezy; 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doświadczenia 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B4491D" w:rsidRDefault="00B4491D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t>Uczeń:</w:t>
            </w:r>
          </w:p>
          <w:p w:rsidR="00B4491D" w:rsidRPr="00660205" w:rsidRDefault="00B4491D" w:rsidP="00B4491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nietypowe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:rsidR="00B4491D" w:rsidRPr="00E72A3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</w:t>
            </w:r>
          </w:p>
          <w:p w:rsidR="00B4491D" w:rsidRPr="00660205" w:rsidRDefault="00B4491D" w:rsidP="00B4491D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</w:p>
        </w:tc>
      </w:tr>
      <w:tr w:rsidR="00B4491D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B4491D" w:rsidRDefault="00B4491D" w:rsidP="00660205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B4491D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:rsidR="00F603F6" w:rsidRPr="00FB1C16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:rsidR="00F603F6" w:rsidRPr="00DC4A01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DC4A01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:rsidR="00F603F6" w:rsidRPr="00660205" w:rsidRDefault="00F603F6" w:rsidP="00DE6FF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ilustracji informacje kluczowe dla opisywanego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0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proofErr w:type="spellStart"/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proofErr w:type="spellEnd"/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0"/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proofErr w:type="spellStart"/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opisuje sumowanie napięć w obwodzie na przykładzie szeregowego połączenia odbiorników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energii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elektrycznej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omawia zależność oporu od temperatury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dla metali i półprzewodników</w:t>
            </w:r>
          </w:p>
          <w:p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porównuje przewodniki, izolatory i półprzewodniki, wskazuje ich przykłady i zastosowania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internetu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, </w:t>
            </w:r>
            <w:r w:rsidRPr="00DC4A01">
              <w:rPr>
                <w:color w:val="000000"/>
                <w:sz w:val="15"/>
                <w:szCs w:val="15"/>
                <w:highlight w:val="lightGray"/>
              </w:rPr>
              <w:t>związanych z zależnością oporu od temperatury</w:t>
            </w:r>
            <w:r w:rsidRPr="00660205">
              <w:rPr>
                <w:color w:val="000000"/>
                <w:sz w:val="15"/>
                <w:szCs w:val="15"/>
              </w:rPr>
              <w:t xml:space="preserve">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:rsidR="00F603F6" w:rsidRPr="00FB1C16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sprawdza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prawo Ohma dla żarówki i grafitu;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buduje obwody elektryczne według przedstawionych schematów, odczytuje wskazania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mierników, zapisuje wyniki pomiarów 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>wraz z jednostką, z 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uwzględnieniem informacji o niepewności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pomiarowej</w:t>
            </w:r>
            <w:r w:rsidRPr="00660205">
              <w:rPr>
                <w:color w:val="000000"/>
                <w:sz w:val="15"/>
                <w:szCs w:val="15"/>
              </w:rPr>
              <w:t xml:space="preserve">, analizuje wyniki pomiarów,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:rsidR="00F603F6" w:rsidRPr="00FB1C16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od temperatury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:rsidR="00F603F6" w:rsidRPr="00660205" w:rsidRDefault="00F603F6" w:rsidP="00DE6FF7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stałych oraz 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:rsidR="00F603F6" w:rsidRPr="00660205" w:rsidRDefault="00F603F6" w:rsidP="00FA0960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right="-193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proofErr w:type="spellStart"/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odróżnia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proofErr w:type="spellStart"/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kondensatora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proofErr w:type="spellStart"/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uwzględnia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wyznacza opór elektryczny na podstawie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:rsidR="00F603F6" w:rsidRPr="00DC4A01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DC4A01">
              <w:rPr>
                <w:color w:val="000000"/>
                <w:sz w:val="15"/>
                <w:szCs w:val="15"/>
                <w:highlight w:val="lightGray"/>
              </w:rPr>
              <w:t>przedstawia i porównuje na wykresach zależność oporu od temperatury dla metali i półprzewodników</w:t>
            </w:r>
          </w:p>
          <w:p w:rsidR="00F603F6" w:rsidRPr="00DC4A01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DC4A01">
              <w:rPr>
                <w:color w:val="000000"/>
                <w:sz w:val="15"/>
                <w:szCs w:val="15"/>
                <w:highlight w:val="lightGray"/>
              </w:rPr>
              <w:lastRenderedPageBreak/>
              <w:t>wyjaśnia, dlaczego wraz ze wzrostem temperatury opór przewodnika rośnie, a opór półprzewodnika maleje (do pewnej</w:t>
            </w:r>
            <w:r w:rsidRPr="00DC4A01">
              <w:rPr>
                <w:color w:val="000000"/>
                <w:spacing w:val="-4"/>
                <w:sz w:val="15"/>
                <w:szCs w:val="15"/>
                <w:highlight w:val="lightGray"/>
              </w:rPr>
              <w:t xml:space="preserve"> granicy); </w:t>
            </w:r>
            <w:r w:rsidRPr="00DC4A01">
              <w:rPr>
                <w:color w:val="000000"/>
                <w:spacing w:val="-2"/>
                <w:sz w:val="15"/>
                <w:szCs w:val="15"/>
                <w:highlight w:val="lightGray"/>
              </w:rPr>
              <w:t>opisuje</w:t>
            </w:r>
            <w:r w:rsidRPr="00DC4A01">
              <w:rPr>
                <w:color w:val="000000"/>
                <w:sz w:val="15"/>
                <w:szCs w:val="15"/>
                <w:highlight w:val="lightGray"/>
              </w:rPr>
              <w:t xml:space="preserve"> na wybranych przykładach praktyczne wykorzystanie tych zależności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związku 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znamionowych urządzeń elektrycznych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:rsidR="00F603F6" w:rsidRPr="00DC4A01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DC4A01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DC4A01">
              <w:rPr>
                <w:color w:val="000000"/>
                <w:sz w:val="15"/>
                <w:szCs w:val="15"/>
                <w:highlight w:val="lightGray"/>
              </w:rPr>
              <w:t>zależnością oporu od temperatury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modyfikuje przebieg doświadczeń 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proofErr w:type="spellStart"/>
            <w:r w:rsidRPr="00660205">
              <w:rPr>
                <w:color w:val="000000"/>
                <w:sz w:val="15"/>
                <w:szCs w:val="15"/>
              </w:rPr>
              <w:t>internetu</w:t>
            </w:r>
            <w:proofErr w:type="spellEnd"/>
            <w:r w:rsidRPr="00660205">
              <w:rPr>
                <w:color w:val="000000"/>
                <w:sz w:val="15"/>
                <w:szCs w:val="15"/>
              </w:rPr>
              <w:t xml:space="preserve">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:rsidR="00F603F6" w:rsidRPr="00FB1C16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związanych z zależnością oporu od temperatury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:rsidR="00F603F6" w:rsidRPr="00660205" w:rsidRDefault="00F603F6" w:rsidP="00DE6FF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 xml:space="preserve">jako własnością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przewodnika; posługuje się jednostką oporu</w:t>
            </w:r>
          </w:p>
          <w:p w:rsidR="00F603F6" w:rsidRPr="00FB1C16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snapToGrid w:val="0"/>
                <w:color w:val="000000"/>
                <w:sz w:val="15"/>
                <w:szCs w:val="15"/>
              </w:rPr>
              <w:t>złożone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:rsidR="00F603F6" w:rsidRPr="00FB1C16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:rsidR="00F603F6" w:rsidRPr="00660205" w:rsidRDefault="00F603F6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proofErr w:type="spellStart"/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proofErr w:type="spellEnd"/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Default="00B4491D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B4491D" w:rsidRPr="00B4491D" w:rsidRDefault="00B4491D" w:rsidP="00B4491D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color w:val="000000"/>
                <w:sz w:val="15"/>
                <w:szCs w:val="15"/>
              </w:rPr>
              <w:t xml:space="preserve">nietypowe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B4491D">
              <w:rPr>
                <w:color w:val="000000"/>
                <w:sz w:val="15"/>
                <w:szCs w:val="15"/>
              </w:rPr>
              <w:t xml:space="preserve">rozdziału </w:t>
            </w:r>
            <w:r w:rsidRPr="00B4491D">
              <w:rPr>
                <w:i/>
                <w:color w:val="000000"/>
                <w:sz w:val="15"/>
                <w:szCs w:val="15"/>
              </w:rPr>
              <w:t>Prąd elektryczny</w:t>
            </w:r>
            <w:r w:rsidRPr="00B4491D">
              <w:rPr>
                <w:color w:val="000000"/>
                <w:sz w:val="15"/>
                <w:szCs w:val="15"/>
              </w:rPr>
              <w:t>, w szczególności</w:t>
            </w:r>
            <w:r>
              <w:rPr>
                <w:color w:val="000000"/>
                <w:sz w:val="15"/>
                <w:szCs w:val="15"/>
              </w:rPr>
              <w:t>:</w:t>
            </w:r>
          </w:p>
          <w:p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prawa Kirchhoffa</w:t>
            </w:r>
          </w:p>
          <w:p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:rsidR="00B4491D" w:rsidRPr="00FB1C16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:rsidR="00B4491D" w:rsidRPr="00660205" w:rsidRDefault="00B4491D" w:rsidP="00B4491D">
            <w:pPr>
              <w:widowControl/>
              <w:autoSpaceDE/>
              <w:autoSpaceDN/>
              <w:adjustRightInd/>
              <w:spacing w:line="276" w:lineRule="auto"/>
              <w:ind w:left="164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B4491D" w:rsidRPr="005932CB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B4491D" w:rsidRDefault="00B4491D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6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B4491D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:rsidR="00F603F6" w:rsidRPr="005F399E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5F399E">
              <w:rPr>
                <w:sz w:val="15"/>
                <w:szCs w:val="15"/>
                <w:highlight w:val="lightGray"/>
              </w:rPr>
              <w:t>opisuje rolę izolacji i bezpieczników przeciążeniowych w domowej sieci elektrycznej oraz warunki bezpiecznego korzystania z energii elektrycznej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rozpoznaje symbole diody</w:t>
            </w:r>
            <w:r>
              <w:rPr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na schematach obwodów elektronicznych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:rsidR="00F603F6" w:rsidRPr="00660205" w:rsidRDefault="00F603F6" w:rsidP="00660205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Cs/>
                <w:i/>
                <w:iCs/>
                <w:sz w:val="15"/>
                <w:szCs w:val="15"/>
              </w:rPr>
              <w:lastRenderedPageBreak/>
              <w:t>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:rsidR="00F603F6" w:rsidRPr="002F3F7F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domową sieć elektryczną jako przykład obwodu rozgałęzionego; stwierdza, że odbiorniki w sieci domowej są połączone równolegle, a łączna moc pobierana z sieci jest równa sumie mocy poszczególnych urządzeń</w:t>
            </w:r>
          </w:p>
          <w:p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660205">
              <w:rPr>
                <w:sz w:val="15"/>
                <w:szCs w:val="15"/>
              </w:rPr>
              <w:t>wykorzystuje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obliczeniach dane znamionowe urządzeń elektrycznych; </w:t>
            </w:r>
            <w:r w:rsidRPr="002F3F7F">
              <w:rPr>
                <w:sz w:val="15"/>
                <w:szCs w:val="15"/>
                <w:highlight w:val="lightGray"/>
              </w:rPr>
              <w:t>oblicza zużycie energii elektrycznej i jego koszt</w:t>
            </w:r>
          </w:p>
          <w:p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 funkcję bezpieczników różnicowych – wyłączników różnicowoprądowych i przewodu uziemiającego</w:t>
            </w:r>
          </w:p>
          <w:p w:rsidR="00F603F6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:rsidR="00F603F6" w:rsidRPr="000837DD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5F399E">
              <w:rPr>
                <w:sz w:val="15"/>
                <w:szCs w:val="15"/>
                <w:highlight w:val="lightGray"/>
              </w:rPr>
              <w:t>przelicza ilość energii elektrycznej wyrażoną w kilowatogodzinach na dżule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>; wymienia źródła pola magnetycznego: 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pobliżu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działanie elektromagnesu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funkcję pola magnetycznego Ziemi jako osłony przed wiatrem słonecznym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opisuje budowę i zasadę działania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 xml:space="preserve">transformatora, 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>podaje przykłady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jego zastosowania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bezpieczeństwa sieci elektrycznej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</w:t>
            </w:r>
          </w:p>
          <w:p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historii odkryć w dziedzinie magnetyzmu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:rsidR="00F603F6" w:rsidRPr="00650449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650449">
              <w:rPr>
                <w:sz w:val="15"/>
                <w:szCs w:val="15"/>
                <w:highlight w:val="lightGray"/>
              </w:rPr>
              <w:t>bada zwarcie i działanie bezpiecznika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  <w:r>
              <w:rPr>
                <w:snapToGrid w:val="0"/>
                <w:spacing w:val="-2"/>
                <w:sz w:val="15"/>
                <w:szCs w:val="15"/>
              </w:rPr>
              <w:t>,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:rsidR="00F603F6" w:rsidRPr="00660205" w:rsidRDefault="00F603F6" w:rsidP="000837D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uzasadnia, że odbiorniki w sieci domowej są połączone równolegle, a łączna moc pobierana z sieci jest równa sumie mocy poszczególnych urządzeń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prostoliniowy, zwojnica), stosując regułę prawej ręki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powstawanie zorzy polarnej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wyjaśnia zasadę jej działania na modelu lub schemacie</w:t>
            </w:r>
          </w:p>
          <w:p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sz w:val="15"/>
                <w:szCs w:val="15"/>
                <w:highlight w:val="lightGray"/>
              </w:rPr>
              <w:t xml:space="preserve">– na modelu lub schemacie – zasadę działania 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>transformatora i </w:t>
            </w:r>
            <w:r w:rsidRPr="002F3F7F">
              <w:rPr>
                <w:sz w:val="15"/>
                <w:szCs w:val="15"/>
                <w:highlight w:val="lightGray"/>
              </w:rPr>
              <w:t>rolę rdzenia w kształcie ramki</w:t>
            </w:r>
          </w:p>
          <w:p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wykazuje, 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że transformator nie pozwala uzyska</w:t>
            </w:r>
            <w:r w:rsidRPr="002F3F7F">
              <w:rPr>
                <w:sz w:val="15"/>
                <w:szCs w:val="15"/>
                <w:highlight w:val="lightGray"/>
              </w:rPr>
              <w:t>ć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 xml:space="preserve"> na wyj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 wyższej mocy niż na wej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</w:t>
            </w:r>
            <w:r w:rsidRPr="002F3F7F">
              <w:rPr>
                <w:sz w:val="15"/>
                <w:szCs w:val="15"/>
                <w:highlight w:val="lightGray"/>
              </w:rPr>
              <w:t>; 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, do czego służą linie wysokiego napięcia; omawia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przesyłanie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energii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elektrycznej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zastosowania tranzystorów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</w:t>
            </w:r>
            <w:r w:rsidRPr="00660205">
              <w:rPr>
                <w:sz w:val="15"/>
                <w:szCs w:val="15"/>
              </w:rPr>
              <w:lastRenderedPageBreak/>
              <w:t xml:space="preserve">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:rsidR="00F603F6" w:rsidRPr="002F3F7F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:rsidR="00F603F6" w:rsidRPr="002F3F7F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0837DD">
              <w:rPr>
                <w:spacing w:val="-2"/>
                <w:sz w:val="15"/>
                <w:szCs w:val="15"/>
              </w:rPr>
              <w:t>prądu;</w:t>
            </w:r>
            <w:r w:rsidRPr="000837DD">
              <w:rPr>
                <w:spacing w:val="-4"/>
                <w:sz w:val="15"/>
                <w:szCs w:val="15"/>
              </w:rPr>
              <w:t xml:space="preserve"> </w:t>
            </w:r>
          </w:p>
          <w:p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>przeprowadza doświadczenia, korzystając z ich opisu: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lastRenderedPageBreak/>
              <w:t>z </w:t>
            </w:r>
            <w:r w:rsidRPr="00660205">
              <w:rPr>
                <w:sz w:val="15"/>
                <w:szCs w:val="15"/>
              </w:rPr>
              <w:t>kondensatora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:rsidR="00F603F6" w:rsidRPr="00660205" w:rsidRDefault="00F603F6" w:rsidP="00DE6F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:rsidR="00F603F6" w:rsidRPr="002F3F7F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:rsidR="00F603F6" w:rsidRPr="000837DD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:rsidR="00F603F6" w:rsidRPr="002F3F7F" w:rsidRDefault="00F603F6" w:rsidP="000837DD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</w:p>
          <w:p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:rsidR="00F603F6" w:rsidRPr="00660205" w:rsidRDefault="00F603F6" w:rsidP="000837DD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sz w:val="15"/>
                <w:szCs w:val="15"/>
              </w:rPr>
            </w:pPr>
          </w:p>
          <w:p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lastRenderedPageBreak/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:rsidR="00F603F6" w:rsidRPr="00660205" w:rsidRDefault="00F603F6" w:rsidP="000837DD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:rsidR="00F603F6" w:rsidRPr="00660205" w:rsidRDefault="00F603F6" w:rsidP="000837DD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F603F6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:rsidR="002C2D10" w:rsidRPr="00660205" w:rsidRDefault="002C2D10" w:rsidP="000452B3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48"/>
              </w:tabs>
              <w:autoSpaceDE/>
              <w:autoSpaceDN/>
              <w:adjustRightInd/>
              <w:spacing w:line="276" w:lineRule="auto"/>
              <w:ind w:left="6" w:hanging="6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>
              <w:rPr>
                <w:sz w:val="15"/>
                <w:szCs w:val="15"/>
              </w:rPr>
              <w:t>niety</w:t>
            </w:r>
            <w:r w:rsidRPr="00660205">
              <w:rPr>
                <w:sz w:val="15"/>
                <w:szCs w:val="15"/>
              </w:rPr>
              <w:t>powe zadania lub problemy dotyczące treści rozdziału</w:t>
            </w:r>
            <w:r w:rsidRPr="000452B3">
              <w:rPr>
                <w:sz w:val="15"/>
                <w:szCs w:val="15"/>
              </w:rPr>
              <w:t xml:space="preserve"> </w:t>
            </w:r>
            <w:r w:rsidRPr="000452B3">
              <w:rPr>
                <w:i/>
                <w:sz w:val="15"/>
                <w:szCs w:val="15"/>
              </w:rPr>
              <w:t>Elektryczność i magnetyzm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:rsidR="002C2D10" w:rsidRPr="002F3F7F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:rsidR="002C2D10" w:rsidRPr="000837DD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:rsidR="00D1601F" w:rsidRPr="000452B3" w:rsidRDefault="00D1601F" w:rsidP="00D1601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 w:rsidR="000452B3">
              <w:rPr>
                <w:spacing w:val="-4"/>
                <w:sz w:val="15"/>
                <w:szCs w:val="15"/>
              </w:rPr>
              <w:t>dotyczące:</w:t>
            </w:r>
          </w:p>
          <w:p w:rsidR="000452B3" w:rsidRPr="00660205" w:rsidRDefault="000452B3" w:rsidP="000452B3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highlight w:val="lightGray"/>
              </w:rPr>
              <w:t xml:space="preserve">– </w:t>
            </w:r>
            <w:r w:rsidRPr="002F3F7F">
              <w:rPr>
                <w:sz w:val="15"/>
                <w:szCs w:val="15"/>
                <w:highlight w:val="lightGray"/>
              </w:rPr>
              <w:t xml:space="preserve">historii odkryć </w:t>
            </w:r>
            <w:r w:rsidRPr="002F3F7F">
              <w:rPr>
                <w:sz w:val="15"/>
                <w:szCs w:val="15"/>
                <w:highlight w:val="lightGray"/>
              </w:rPr>
              <w:lastRenderedPageBreak/>
              <w:t>dotyczących magnetyzmu</w:t>
            </w:r>
          </w:p>
          <w:p w:rsidR="000452B3" w:rsidRPr="002F3F7F" w:rsidRDefault="000452B3" w:rsidP="000452B3">
            <w:pPr>
              <w:widowControl/>
              <w:numPr>
                <w:ilvl w:val="0"/>
                <w:numId w:val="35"/>
              </w:numPr>
              <w:tabs>
                <w:tab w:val="clear" w:pos="700"/>
                <w:tab w:val="num" w:pos="89"/>
              </w:tabs>
              <w:autoSpaceDE/>
              <w:autoSpaceDN/>
              <w:adjustRightInd/>
              <w:spacing w:line="276" w:lineRule="auto"/>
              <w:ind w:left="-53" w:firstLine="0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:rsidR="000452B3" w:rsidRPr="00660205" w:rsidRDefault="000452B3" w:rsidP="000452B3">
            <w:pPr>
              <w:spacing w:line="276" w:lineRule="auto"/>
              <w:ind w:left="-53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:rsidR="002C2D10" w:rsidRPr="00660205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</w:tc>
      </w:tr>
    </w:tbl>
    <w:p w:rsidR="00660205" w:rsidRDefault="00660205" w:rsidP="00FB20C2">
      <w:pPr>
        <w:pStyle w:val="Nagwek1"/>
        <w:kinsoku w:val="0"/>
        <w:overflowPunct w:val="0"/>
        <w:spacing w:before="114"/>
        <w:ind w:left="0"/>
        <w:rPr>
          <w:b/>
          <w:bCs/>
          <w:color w:val="221F1F"/>
        </w:rPr>
      </w:pPr>
    </w:p>
    <w:sectPr w:rsidR="00660205" w:rsidSect="004C41F6">
      <w:headerReference w:type="default" r:id="rId8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DE" w:rsidRDefault="005178DE" w:rsidP="004C41F6">
      <w:r>
        <w:separator/>
      </w:r>
    </w:p>
  </w:endnote>
  <w:endnote w:type="continuationSeparator" w:id="0">
    <w:p w:rsidR="005178DE" w:rsidRDefault="005178DE" w:rsidP="004C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DE" w:rsidRDefault="005178DE" w:rsidP="004C41F6">
      <w:r>
        <w:separator/>
      </w:r>
    </w:p>
  </w:footnote>
  <w:footnote w:type="continuationSeparator" w:id="0">
    <w:p w:rsidR="005178DE" w:rsidRDefault="005178DE" w:rsidP="004C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9D" w:rsidRDefault="00511765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44.5pt;margin-top:-78.1pt;width:20.65pt;height:220.35pt;rotation:9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2qugIAAMA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" o:allowincell="f" filled="f" stroked="f">
          <v:textbox inset="0,0,0,0">
            <w:txbxContent>
              <w:p w:rsidR="00330D9D" w:rsidRPr="00B26112" w:rsidRDefault="00511765" w:rsidP="004C41F6">
                <w:pPr>
                  <w:tabs>
                    <w:tab w:val="left" w:pos="425"/>
                    <w:tab w:val="left" w:pos="1985"/>
                  </w:tabs>
                  <w:kinsoku w:val="0"/>
                  <w:overflowPunct w:val="0"/>
                  <w:spacing w:before="33" w:line="154" w:lineRule="exact"/>
                  <w:ind w:left="20"/>
                  <w:rPr>
                    <w:rFonts w:ascii="Arial" w:hAnsi="Arial" w:cs="Arial"/>
                    <w:i/>
                    <w:iCs/>
                    <w:color w:val="FFFFFF"/>
                    <w:w w:val="107"/>
                    <w:sz w:val="15"/>
                    <w:szCs w:val="15"/>
                  </w:rPr>
                </w:pP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begin"/>
                </w:r>
                <w:r w:rsidR="00330D9D"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instrText>PAGE   \* MERGEFORMAT</w:instrTex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separate"/>
                </w:r>
                <w:r w:rsidR="00FB20C2">
                  <w:rPr>
                    <w:rFonts w:ascii="Arial" w:hAnsi="Arial" w:cs="Arial"/>
                    <w:i/>
                    <w:iCs/>
                    <w:noProof/>
                    <w:color w:val="FFFFFF"/>
                    <w:w w:val="118"/>
                    <w:sz w:val="15"/>
                    <w:szCs w:val="15"/>
                  </w:rPr>
                  <w:t>9</w: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end"/>
                </w:r>
                <w:r w:rsidR="00330D9D" w:rsidRPr="00B26112">
                  <w:rPr>
                    <w:rFonts w:ascii="Arial" w:hAnsi="Arial" w:cs="Arial"/>
                    <w:i/>
                    <w:iCs/>
                    <w:color w:val="FFFFFF"/>
                    <w:sz w:val="15"/>
                    <w:szCs w:val="15"/>
                  </w:rPr>
                  <w:tab/>
                </w:r>
                <w:r w:rsidR="00330D9D">
                  <w:rPr>
                    <w:rFonts w:ascii="Arial" w:hAnsi="Arial" w:cs="Arial"/>
                    <w:i/>
                    <w:iCs/>
                    <w:color w:val="FFFFFF"/>
                    <w:w w:val="104"/>
                    <w:sz w:val="15"/>
                    <w:szCs w:val="15"/>
                  </w:rPr>
                  <w:t>Przedmiotowy system oceniania</w:t>
                </w:r>
              </w:p>
            </w:txbxContent>
          </v:textbox>
          <w10:wrap anchorx="page" anchory="page"/>
        </v:shape>
      </w:pict>
    </w:r>
  </w:p>
  <w:p w:rsidR="00330D9D" w:rsidRDefault="00330D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3"/>
  </w:num>
  <w:num w:numId="16">
    <w:abstractNumId w:val="13"/>
  </w:num>
  <w:num w:numId="17">
    <w:abstractNumId w:val="33"/>
  </w:num>
  <w:num w:numId="18">
    <w:abstractNumId w:val="22"/>
  </w:num>
  <w:num w:numId="19">
    <w:abstractNumId w:val="15"/>
  </w:num>
  <w:num w:numId="20">
    <w:abstractNumId w:val="26"/>
  </w:num>
  <w:num w:numId="21">
    <w:abstractNumId w:val="29"/>
  </w:num>
  <w:num w:numId="22">
    <w:abstractNumId w:val="31"/>
  </w:num>
  <w:num w:numId="23">
    <w:abstractNumId w:val="25"/>
  </w:num>
  <w:num w:numId="24">
    <w:abstractNumId w:val="23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14"/>
  </w:num>
  <w:num w:numId="30">
    <w:abstractNumId w:val="24"/>
  </w:num>
  <w:num w:numId="31">
    <w:abstractNumId w:val="16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8"/>
  </w:num>
  <w:num w:numId="37">
    <w:abstractNumId w:val="27"/>
  </w:num>
  <w:num w:numId="38">
    <w:abstractNumId w:val="20"/>
  </w:num>
  <w:num w:numId="39">
    <w:abstractNumId w:val="1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643E59"/>
    <w:rsid w:val="0004427E"/>
    <w:rsid w:val="000452B3"/>
    <w:rsid w:val="000556FD"/>
    <w:rsid w:val="000837DD"/>
    <w:rsid w:val="000B0AAF"/>
    <w:rsid w:val="000D1E12"/>
    <w:rsid w:val="001227CD"/>
    <w:rsid w:val="00155E54"/>
    <w:rsid w:val="00191358"/>
    <w:rsid w:val="001D24E9"/>
    <w:rsid w:val="001F6399"/>
    <w:rsid w:val="002565C3"/>
    <w:rsid w:val="00276243"/>
    <w:rsid w:val="002B2D9A"/>
    <w:rsid w:val="002B514E"/>
    <w:rsid w:val="002C2D10"/>
    <w:rsid w:val="002D7804"/>
    <w:rsid w:val="002F3F7F"/>
    <w:rsid w:val="00325B71"/>
    <w:rsid w:val="00326AD8"/>
    <w:rsid w:val="00326B84"/>
    <w:rsid w:val="00330D9D"/>
    <w:rsid w:val="004C41F6"/>
    <w:rsid w:val="00511765"/>
    <w:rsid w:val="005178DE"/>
    <w:rsid w:val="00531C14"/>
    <w:rsid w:val="00583C50"/>
    <w:rsid w:val="00587836"/>
    <w:rsid w:val="005932CB"/>
    <w:rsid w:val="005F0D9F"/>
    <w:rsid w:val="005F399E"/>
    <w:rsid w:val="006153A2"/>
    <w:rsid w:val="00643E59"/>
    <w:rsid w:val="00650449"/>
    <w:rsid w:val="00660205"/>
    <w:rsid w:val="006750CE"/>
    <w:rsid w:val="00681EDF"/>
    <w:rsid w:val="00721F97"/>
    <w:rsid w:val="00756E48"/>
    <w:rsid w:val="0077371D"/>
    <w:rsid w:val="00820235"/>
    <w:rsid w:val="00835CE8"/>
    <w:rsid w:val="008C2F3E"/>
    <w:rsid w:val="0090319B"/>
    <w:rsid w:val="0092727E"/>
    <w:rsid w:val="00992C5D"/>
    <w:rsid w:val="00A67131"/>
    <w:rsid w:val="00B13884"/>
    <w:rsid w:val="00B4491D"/>
    <w:rsid w:val="00B976A8"/>
    <w:rsid w:val="00BE187C"/>
    <w:rsid w:val="00BF2C1A"/>
    <w:rsid w:val="00C92CF0"/>
    <w:rsid w:val="00CF1A56"/>
    <w:rsid w:val="00D1601F"/>
    <w:rsid w:val="00D22459"/>
    <w:rsid w:val="00D257FE"/>
    <w:rsid w:val="00D94E9A"/>
    <w:rsid w:val="00DB7079"/>
    <w:rsid w:val="00DC0FAB"/>
    <w:rsid w:val="00DC4A01"/>
    <w:rsid w:val="00DD67DA"/>
    <w:rsid w:val="00DE6FF7"/>
    <w:rsid w:val="00E137A9"/>
    <w:rsid w:val="00E72A35"/>
    <w:rsid w:val="00ED22A7"/>
    <w:rsid w:val="00ED6BDC"/>
    <w:rsid w:val="00F013EF"/>
    <w:rsid w:val="00F108B5"/>
    <w:rsid w:val="00F603F6"/>
    <w:rsid w:val="00F8205D"/>
    <w:rsid w:val="00FA0960"/>
    <w:rsid w:val="00FB1C16"/>
    <w:rsid w:val="00FB20C2"/>
    <w:rsid w:val="00FE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1765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511765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11765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1765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117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511765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511765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5A5A-1368-448C-ACAB-016623E9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4889</Words>
  <Characters>29339</Characters>
  <Application>Microsoft Office Word</Application>
  <DocSecurity>0</DocSecurity>
  <Lines>244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>Ministrerstwo Edukacji Narodowej</Company>
  <LinksUpToDate>false</LinksUpToDate>
  <CharactersWithSpaces>34160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NOWE odkryć fizykę klasa 2</dc:title>
  <dc:creator>ER</dc:creator>
  <cp:lastModifiedBy>dr.E</cp:lastModifiedBy>
  <cp:revision>2</cp:revision>
  <cp:lastPrinted>2025-07-24T14:37:00Z</cp:lastPrinted>
  <dcterms:created xsi:type="dcterms:W3CDTF">2025-09-05T17:03:00Z</dcterms:created>
  <dcterms:modified xsi:type="dcterms:W3CDTF">2025-09-05T17:03:00Z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